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Libre Franklin" w:cs="Libre Franklin" w:eastAsia="Libre Franklin" w:hAnsi="Libre Franklin"/>
          <w:b w:val="1"/>
          <w:strike w:val="1"/>
          <w:sz w:val="20"/>
          <w:szCs w:val="20"/>
          <w:highlight w:val="yellow"/>
        </w:rPr>
      </w:pPr>
      <w:r w:rsidDel="00000000" w:rsidR="00000000" w:rsidRPr="00000000">
        <w:rPr>
          <w:rtl w:val="0"/>
        </w:rPr>
      </w:r>
    </w:p>
    <w:p w:rsidR="00000000" w:rsidDel="00000000" w:rsidP="00000000" w:rsidRDefault="00000000" w:rsidRPr="00000000" w14:paraId="00000002">
      <w:pPr>
        <w:spacing w:after="0" w:lineRule="auto"/>
        <w:jc w:val="right"/>
        <w:rPr>
          <w:rFonts w:ascii="Libre Franklin" w:cs="Libre Franklin" w:eastAsia="Libre Franklin" w:hAnsi="Libre Franklin"/>
          <w:b w:val="1"/>
          <w:sz w:val="20"/>
          <w:szCs w:val="20"/>
          <w:highlight w:val="yellow"/>
        </w:rPr>
      </w:pPr>
      <w:r w:rsidDel="00000000" w:rsidR="00000000" w:rsidRPr="00000000">
        <w:rPr>
          <w:rtl w:val="0"/>
        </w:rPr>
      </w:r>
    </w:p>
    <w:p w:rsidR="00000000" w:rsidDel="00000000" w:rsidP="00000000" w:rsidRDefault="00000000" w:rsidRPr="00000000" w14:paraId="00000003">
      <w:pPr>
        <w:spacing w:after="0" w:lineRule="auto"/>
        <w:jc w:val="right"/>
        <w:rPr>
          <w:rFonts w:ascii="Libre Franklin" w:cs="Libre Franklin" w:eastAsia="Libre Franklin" w:hAnsi="Libre Franklin"/>
          <w:b w:val="1"/>
          <w:sz w:val="20"/>
          <w:szCs w:val="20"/>
          <w:highlight w:val="yellow"/>
        </w:rPr>
      </w:pPr>
      <w:r w:rsidDel="00000000" w:rsidR="00000000" w:rsidRPr="00000000">
        <w:rPr>
          <w:rtl w:val="0"/>
        </w:rPr>
      </w:r>
    </w:p>
    <w:p w:rsidR="00000000" w:rsidDel="00000000" w:rsidP="00000000" w:rsidRDefault="00000000" w:rsidRPr="00000000" w14:paraId="00000004">
      <w:pPr>
        <w:spacing w:after="0" w:lineRule="auto"/>
        <w:jc w:val="right"/>
        <w:rPr>
          <w:rFonts w:ascii="Libre Franklin" w:cs="Libre Franklin" w:eastAsia="Libre Franklin" w:hAnsi="Libre Franklin"/>
          <w:b w:val="1"/>
          <w:sz w:val="20"/>
          <w:szCs w:val="20"/>
          <w:highlight w:val="yellow"/>
        </w:rPr>
      </w:pPr>
      <w:r w:rsidDel="00000000" w:rsidR="00000000" w:rsidRPr="00000000">
        <w:rPr>
          <w:rtl w:val="0"/>
        </w:rPr>
      </w:r>
    </w:p>
    <w:p w:rsidR="00000000" w:rsidDel="00000000" w:rsidP="00000000" w:rsidRDefault="00000000" w:rsidRPr="00000000" w14:paraId="00000005">
      <w:pPr>
        <w:spacing w:after="0" w:lineRule="auto"/>
        <w:jc w:val="right"/>
        <w:rPr>
          <w:rFonts w:ascii="Libre Franklin" w:cs="Libre Franklin" w:eastAsia="Libre Franklin" w:hAnsi="Libre Franklin"/>
          <w:b w:val="1"/>
        </w:rPr>
      </w:pPr>
      <w:r w:rsidDel="00000000" w:rsidR="00000000" w:rsidRPr="00000000">
        <w:rPr>
          <w:rFonts w:ascii="Libre Franklin" w:cs="Libre Franklin" w:eastAsia="Libre Franklin" w:hAnsi="Libre Franklin"/>
          <w:b w:val="1"/>
          <w:highlight w:val="yellow"/>
          <w:rtl w:val="0"/>
        </w:rPr>
        <w:t xml:space="preserve"> Persbericht</w:t>
      </w:r>
      <w:r w:rsidDel="00000000" w:rsidR="00000000" w:rsidRPr="00000000">
        <w:rPr>
          <w:rtl w:val="0"/>
        </w:rPr>
      </w:r>
    </w:p>
    <w:p w:rsidR="00000000" w:rsidDel="00000000" w:rsidP="00000000" w:rsidRDefault="00000000" w:rsidRPr="00000000" w14:paraId="00000006">
      <w:pPr>
        <w:tabs>
          <w:tab w:val="left" w:pos="1843"/>
        </w:tabs>
        <w:spacing w:after="0" w:lineRule="auto"/>
        <w:jc w:val="righ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28 juni 2021</w:t>
      </w:r>
    </w:p>
    <w:p w:rsidR="00000000" w:rsidDel="00000000" w:rsidP="00000000" w:rsidRDefault="00000000" w:rsidRPr="00000000" w14:paraId="00000007">
      <w:pPr>
        <w:tabs>
          <w:tab w:val="left" w:pos="1843"/>
        </w:tabs>
        <w:spacing w:after="0" w:lineRule="auto"/>
        <w:jc w:val="righ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8">
      <w:pPr>
        <w:tabs>
          <w:tab w:val="left" w:pos="1843"/>
        </w:tabs>
        <w:spacing w:after="0" w:lineRule="auto"/>
        <w:jc w:val="center"/>
        <w:rPr>
          <w:rFonts w:ascii="Libre Franklin" w:cs="Libre Franklin" w:eastAsia="Libre Franklin" w:hAnsi="Libre Franklin"/>
          <w:b w:val="1"/>
          <w:smallCaps w:val="1"/>
          <w:sz w:val="36"/>
          <w:szCs w:val="36"/>
        </w:rPr>
      </w:pPr>
      <w:r w:rsidDel="00000000" w:rsidR="00000000" w:rsidRPr="00000000">
        <w:rPr>
          <w:rFonts w:ascii="Libre Franklin" w:cs="Libre Franklin" w:eastAsia="Libre Franklin" w:hAnsi="Libre Franklin"/>
          <w:b w:val="1"/>
          <w:smallCaps w:val="1"/>
          <w:sz w:val="36"/>
          <w:szCs w:val="36"/>
          <w:rtl w:val="0"/>
        </w:rPr>
        <w:t xml:space="preserve">boost voor projecten met kwetsbare jongeren</w:t>
      </w:r>
    </w:p>
    <w:p w:rsidR="00000000" w:rsidDel="00000000" w:rsidP="00000000" w:rsidRDefault="00000000" w:rsidRPr="00000000" w14:paraId="00000009">
      <w:pPr>
        <w:tabs>
          <w:tab w:val="left" w:pos="1843"/>
        </w:tabs>
        <w:spacing w:after="0" w:lineRule="auto"/>
        <w:jc w:val="center"/>
        <w:rPr>
          <w:rFonts w:ascii="Libre Franklin" w:cs="Libre Franklin" w:eastAsia="Libre Franklin" w:hAnsi="Libre Franklin"/>
          <w:b w:val="1"/>
          <w:smallCaps w:val="1"/>
          <w:sz w:val="28"/>
          <w:szCs w:val="28"/>
        </w:rPr>
      </w:pPr>
      <w:r w:rsidDel="00000000" w:rsidR="00000000" w:rsidRPr="00000000">
        <w:rPr>
          <w:rFonts w:ascii="Libre Franklin" w:cs="Libre Franklin" w:eastAsia="Libre Franklin" w:hAnsi="Libre Franklin"/>
          <w:b w:val="1"/>
          <w:smallCaps w:val="1"/>
          <w:sz w:val="28"/>
          <w:szCs w:val="28"/>
          <w:rtl w:val="0"/>
        </w:rPr>
        <w:t xml:space="preserve">Acht dossiers krijgen samen een ‘financiële duw’ van € 35.000</w:t>
      </w:r>
    </w:p>
    <w:p w:rsidR="00000000" w:rsidDel="00000000" w:rsidP="00000000" w:rsidRDefault="00000000" w:rsidRPr="00000000" w14:paraId="0000000A">
      <w:pPr>
        <w:tabs>
          <w:tab w:val="left" w:pos="1843"/>
        </w:tabs>
        <w:spacing w:after="0" w:lineRule="auto"/>
        <w:jc w:val="center"/>
        <w:rPr>
          <w:rFonts w:ascii="Libre Franklin" w:cs="Libre Franklin" w:eastAsia="Libre Franklin" w:hAnsi="Libre Franklin"/>
          <w:b w:val="1"/>
          <w:sz w:val="36"/>
          <w:szCs w:val="36"/>
        </w:rPr>
      </w:pPr>
      <w:r w:rsidDel="00000000" w:rsidR="00000000" w:rsidRPr="00000000">
        <w:rPr>
          <w:rtl w:val="0"/>
        </w:rPr>
      </w:r>
    </w:p>
    <w:p w:rsidR="00000000" w:rsidDel="00000000" w:rsidP="00000000" w:rsidRDefault="00000000" w:rsidRPr="00000000" w14:paraId="0000000B">
      <w:pPr>
        <w:tabs>
          <w:tab w:val="left" w:pos="1843"/>
        </w:tabs>
        <w:spacing w:after="0" w:lineRule="auto"/>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Acht projecten op Brugse grondgebied die werken met kwetsbare jongeren krijgen samen € 35.000 financiële ondersteuning. De duw in de rug komt van Brugge(n) voor Jongeren, het samenwerkingsverband van OCMW Brugge, Stad Brugge en CAW Noord-West-Vlaanderen. Het nieuws werd bekendgemaakt in House of Time, dat zelf ook als laureaat uit de bus kwam.</w:t>
      </w:r>
    </w:p>
    <w:p w:rsidR="00000000" w:rsidDel="00000000" w:rsidP="00000000" w:rsidRDefault="00000000" w:rsidRPr="00000000" w14:paraId="0000000C">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D">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“Toon ons hoe jij verbindend met kwetsbare jongeren aan de slag gaat, en wij geven jouw project een boost.” Dat is de achterliggende gedachte van de projectoproep die Brugge(n) voor Jongeren (BVJ) dit voorjaar lanceerde. BVJ sprak tal van organisaties aan die ervaring hebben in de materie. Elk voorstel dat deze jongeren in Brugge virtueel ‘omhoogtilt’, maakte kans op financiële steun. Uiteindelijk werden er acht projecten geselecteerd, van een praatcafé, over klimmomenten in de Yurt (Assebroek) tot het creatieve project ‘Life Change Now’.</w:t>
      </w:r>
    </w:p>
    <w:p w:rsidR="00000000" w:rsidDel="00000000" w:rsidP="00000000" w:rsidRDefault="00000000" w:rsidRPr="00000000" w14:paraId="0000000E">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F">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Christel VERHAS, directeur CAW Noord-West-Vlaanderen:</w:t>
      </w:r>
      <w:r w:rsidDel="00000000" w:rsidR="00000000" w:rsidRPr="00000000">
        <w:rPr>
          <w:rFonts w:ascii="Libre Franklin" w:cs="Libre Franklin" w:eastAsia="Libre Franklin" w:hAnsi="Libre Franklin"/>
          <w:rtl w:val="0"/>
        </w:rPr>
        <w:t xml:space="preserve"> </w:t>
      </w:r>
    </w:p>
    <w:p w:rsidR="00000000" w:rsidDel="00000000" w:rsidP="00000000" w:rsidRDefault="00000000" w:rsidRPr="00000000" w14:paraId="00000010">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“Ons samenwerkingsverband  Brugge(n) voor Jongeren werkt voortdurend rond verbinding  en expertise delen, samen met kwetsbare jongeren. De mensen op het terrein hebben het meest voeling met de doelgroep en weten dus ook wat de noden zijn. Een vertrouwensband en échte betrokkenheid spelen een grote rol. Niets beters om die band te verstevigen, dan samen ergens voor te gaan. Om dat mogelijk te maken, vonden we het zinvol om budget beschikbaar te stellen voor projectondersteuning. De centen gaan naar projecten in Brugge, die beantwoorden aan de visie van Brugge(n) voor Jongeren en die kwetsbare jongeren effectief betrekken in hun verhaal. Het is dus geen top-down, maar een bottom-upverhaal, gebaseerd op participatie en verbinding.” </w:t>
      </w:r>
    </w:p>
    <w:p w:rsidR="00000000" w:rsidDel="00000000" w:rsidP="00000000" w:rsidRDefault="00000000" w:rsidRPr="00000000" w14:paraId="00000011">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2">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De oproep werd gelanceerd binnen het BVJ-netwerk, waar ruim 35 organisaties deel van uitmaken. Dat Brugge lééft, en goesting heeft in actie, bleek uit de kandidaatsdossiers die binnenkwamen, vaak met een klemtoon op subdoelgroepen zoals nieuwkomers en jongeren ‘onder de radar’. Maar ook de nieuwe noden na de pandemie stonden bij tal van projecten centraal. Uiteindelijk werden er acht geselecteerd voor financiële steun via Brugge(n) voor Jongeren.</w:t>
      </w:r>
    </w:p>
    <w:p w:rsidR="00000000" w:rsidDel="00000000" w:rsidP="00000000" w:rsidRDefault="00000000" w:rsidRPr="00000000" w14:paraId="00000013">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4">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Schepen Mathijs GODERIS</w:t>
      </w:r>
      <w:r w:rsidDel="00000000" w:rsidR="00000000" w:rsidRPr="00000000">
        <w:rPr>
          <w:rFonts w:ascii="Libre Franklin" w:cs="Libre Franklin" w:eastAsia="Libre Franklin" w:hAnsi="Libre Franklin"/>
          <w:rtl w:val="0"/>
        </w:rPr>
        <w:t xml:space="preserve">: “We waren aangenaam verrast met de brede respons en met de veelheid aan organisaties die hiervoor intekenden. We ontvingen voorstellen van onder andere Sportdienst Brugge, JAC, Buurtsport, CaRgo en vzw Binnenstad. Het bewijst dat er in onze stad heel wat organisaties actief zijn op het terrein en dat ze echt de handen uit de mouwen steken om kwetsbare jongeren te bereiken. Bij de beoordeling van de dossiers hebben we gekeken naar de expertise van de organisaties zelf: zij weten het best wat er op het terrein nodig is. Als ze hun project en ideeën vorm geven door partnerschappen en participatie in de breedste zin van het woord, dan dragen ze de filosofie van Brugge(n) voor Jongeren helemaal. Wij dragen met de Stad Brugge en als partner in BVJ, graag een financieel steentje bij.”</w:t>
      </w:r>
    </w:p>
    <w:p w:rsidR="00000000" w:rsidDel="00000000" w:rsidP="00000000" w:rsidRDefault="00000000" w:rsidRPr="00000000" w14:paraId="00000015">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6">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Met de centen – € 35.000 in totaal– gaan er dus acht winnaars aan de slag. En daar zijn een hoop organisaties bij betrokken.</w:t>
      </w:r>
    </w:p>
    <w:p w:rsidR="00000000" w:rsidDel="00000000" w:rsidP="00000000" w:rsidRDefault="00000000" w:rsidRPr="00000000" w14:paraId="00000017">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8">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Schepen Pablo ANNYS</w:t>
      </w:r>
      <w:r w:rsidDel="00000000" w:rsidR="00000000" w:rsidRPr="00000000">
        <w:rPr>
          <w:rFonts w:ascii="Libre Franklin" w:cs="Libre Franklin" w:eastAsia="Libre Franklin" w:hAnsi="Libre Franklin"/>
          <w:rtl w:val="0"/>
        </w:rPr>
        <w:t xml:space="preserve">: “Het knappe is dat we met deze ondersteuning ook binnen het werkveld, mensen motiveren om de handen in elkaar te slaan. De Batterie, CaRgo en het collectief ‘De onbeperkten’ gaan kunst maken onder de noemer ‘Life Change Now’. Bij ‘Fiets voor Iets’ gaat de gelijknamige vzw het JAC in Brugge een handje helpen. Den Indruk en vzw Binnenstad zetten dan weer een CBAW-café op poten, waar jongeren op een laagdrempelige manier vragen en bezorgdheden kunnen delen. Het zijn telkens doordachte initiatieven die breed gedragen worden en hetzelfde doel beogen: kwetsbare jongeren de hand reiken. Met OCMW Brugge zijn we partner in het overkoepelende traject Brugge(n) voor Jongeren. Dat we de visie van dat traject zo concreet vertalen en financieel versterken, bewijst dat Brugge een stad is die echt draait om mensen.</w:t>
      </w:r>
    </w:p>
    <w:p w:rsidR="00000000" w:rsidDel="00000000" w:rsidP="00000000" w:rsidRDefault="00000000" w:rsidRPr="00000000" w14:paraId="00000019">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A">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0" w:line="240" w:lineRule="auto"/>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highlight w:val="yellow"/>
          <w:rtl w:val="0"/>
        </w:rPr>
        <w:t xml:space="preserve">Einde persbericht</w:t>
      </w:r>
      <w:r w:rsidDel="00000000" w:rsidR="00000000" w:rsidRPr="00000000">
        <w:rPr>
          <w:rtl w:val="0"/>
        </w:rPr>
      </w:r>
    </w:p>
    <w:p w:rsidR="00000000" w:rsidDel="00000000" w:rsidP="00000000" w:rsidRDefault="00000000" w:rsidRPr="00000000" w14:paraId="0000001C">
      <w:pPr>
        <w:spacing w:after="0" w:lineRule="auto"/>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1D">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Voor meer info:</w:t>
        <w:br w:type="textWrapping"/>
      </w:r>
      <w:r w:rsidDel="00000000" w:rsidR="00000000" w:rsidRPr="00000000">
        <w:rPr>
          <w:rtl w:val="0"/>
        </w:rPr>
      </w:r>
    </w:p>
    <w:p w:rsidR="00000000" w:rsidDel="00000000" w:rsidP="00000000" w:rsidRDefault="00000000" w:rsidRPr="00000000" w14:paraId="0000001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Jeroen Slambrouck</w:t>
        <w:br w:type="textWrapping"/>
      </w:r>
      <w:hyperlink r:id="rId7">
        <w:r w:rsidDel="00000000" w:rsidR="00000000" w:rsidRPr="00000000">
          <w:rPr>
            <w:rFonts w:ascii="Libre Franklin" w:cs="Libre Franklin" w:eastAsia="Libre Franklin" w:hAnsi="Libre Franklin"/>
            <w:rtl w:val="0"/>
          </w:rPr>
          <w:t xml:space="preserve">jeroen.slambrouck@cawnoordwestvlaanderen.be</w:t>
        </w:r>
      </w:hyperlink>
      <w:r w:rsidDel="00000000" w:rsidR="00000000" w:rsidRPr="00000000">
        <w:rPr>
          <w:rFonts w:ascii="Libre Franklin" w:cs="Libre Franklin" w:eastAsia="Libre Franklin" w:hAnsi="Libre Franklin"/>
          <w:rtl w:val="0"/>
        </w:rPr>
        <w:br w:type="textWrapping"/>
        <w:t xml:space="preserve">T 0490 42 14 98</w:t>
      </w:r>
    </w:p>
    <w:p w:rsidR="00000000" w:rsidDel="00000000" w:rsidP="00000000" w:rsidRDefault="00000000" w:rsidRPr="00000000" w14:paraId="0000001F">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0">
      <w:pPr>
        <w:spacing w:after="0" w:lineRule="auto"/>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Bijlage: 1 – Samenvatting goedgekeurde dossiers tegemoetkoming ‘Brugge(n) voor Jongeren</w:t>
      </w:r>
    </w:p>
    <w:p w:rsidR="00000000" w:rsidDel="00000000" w:rsidP="00000000" w:rsidRDefault="00000000" w:rsidRPr="00000000" w14:paraId="00000021">
      <w:pPr>
        <w:rPr>
          <w:rFonts w:ascii="Libre Franklin" w:cs="Libre Franklin" w:eastAsia="Libre Franklin" w:hAnsi="Libre Franklin"/>
        </w:rPr>
      </w:pPr>
      <w:r w:rsidDel="00000000" w:rsidR="00000000" w:rsidRPr="00000000">
        <w:br w:type="page"/>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left" w:pos="1843"/>
        </w:tabs>
        <w:spacing w:after="0" w:lineRule="auto"/>
        <w:rPr>
          <w:rFonts w:ascii="Libre Franklin" w:cs="Libre Franklin" w:eastAsia="Libre Franklin" w:hAnsi="Libre Franklin"/>
          <w:sz w:val="32"/>
          <w:szCs w:val="32"/>
        </w:rPr>
      </w:pPr>
      <w:r w:rsidDel="00000000" w:rsidR="00000000" w:rsidRPr="00000000">
        <w:rPr>
          <w:rFonts w:ascii="Libre Franklin" w:cs="Libre Franklin" w:eastAsia="Libre Franklin" w:hAnsi="Libre Franklin"/>
          <w:sz w:val="32"/>
          <w:szCs w:val="32"/>
          <w:rtl w:val="0"/>
        </w:rPr>
        <w:t xml:space="preserve">Goedgekeurde dossiers – partnerschap Brugge(n) voor Jongeren</w:t>
      </w:r>
    </w:p>
    <w:p w:rsidR="00000000" w:rsidDel="00000000" w:rsidP="00000000" w:rsidRDefault="00000000" w:rsidRPr="00000000" w14:paraId="00000023">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4">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Life Change Now</w:t>
      </w:r>
    </w:p>
    <w:p w:rsidR="00000000" w:rsidDel="00000000" w:rsidP="00000000" w:rsidRDefault="00000000" w:rsidRPr="00000000" w14:paraId="00000025">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Deelnemende organisaties: </w:t>
        <w:br w:type="textWrapping"/>
        <w:t xml:space="preserve">De Batterie, CaRgo en collectief ‘De onbeperkten’ op locatie: House of Time</w:t>
      </w:r>
    </w:p>
    <w:p w:rsidR="00000000" w:rsidDel="00000000" w:rsidP="00000000" w:rsidRDefault="00000000" w:rsidRPr="00000000" w14:paraId="00000026">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7">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Korte inhoud:  </w:t>
        <w:br w:type="textWrapping"/>
        <w:t xml:space="preserve">Aan de hand van nieuwe technieken (fotografie, polymeer, grafiek) proberen de jongeren nieuwe vormen van expressie uit en werken ze samen aan een volwaardig artistiek eindproduct. Ze leren nieuwe vaardigheden aan zonder druk van een schoolse omgeving. Ze leggen sociale contacten en ze zetten zich in om tot een kwalitatief, artistiek eindproduct te komen. Alle werken worden op het eind van het project tentoongesteld op de site van House of time, open voor het grote publiek. </w:t>
      </w:r>
    </w:p>
    <w:p w:rsidR="00000000" w:rsidDel="00000000" w:rsidP="00000000" w:rsidRDefault="00000000" w:rsidRPr="00000000" w14:paraId="00000028">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9">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Fiets voor Iets</w:t>
      </w:r>
    </w:p>
    <w:p w:rsidR="00000000" w:rsidDel="00000000" w:rsidP="00000000" w:rsidRDefault="00000000" w:rsidRPr="00000000" w14:paraId="0000002A">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Deelnemende organisaties: </w:t>
        <w:br w:type="textWrapping"/>
        <w:t xml:space="preserve">Fiets voor Iets vzw en JAC Brugge (CAW-Noord-West-Vlaanderen)</w:t>
      </w:r>
    </w:p>
    <w:p w:rsidR="00000000" w:rsidDel="00000000" w:rsidP="00000000" w:rsidRDefault="00000000" w:rsidRPr="00000000" w14:paraId="0000002B">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Korte inhoud: </w:t>
        <w:br w:type="textWrapping"/>
        <w:t xml:space="preserve">Door de samenwerking tussen Fiets Voor Iets en het JAC Brugge engageert Fiets Voor Iets zich voor een bepaalde periode om de werking van het JAC Brugge te ondersteunen. Fiets Voor Iets organiseert acties (bv. gesponsorde fietstocht, bidon verkoop) waarbij het JAC Brugge in de kijker wordt geplaatst en waarbij geld wordt ingezameld. Het JAC Brugge beschikt zo over werkingsbudget waarmee ze fietsvouchers, noodovernachting, enzovoort kunnen aanbieden aan de meeste kwetsbare jongeren.</w:t>
      </w:r>
    </w:p>
    <w:p w:rsidR="00000000" w:rsidDel="00000000" w:rsidP="00000000" w:rsidRDefault="00000000" w:rsidRPr="00000000" w14:paraId="0000002C">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D">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Yurt op House of Time</w:t>
      </w:r>
    </w:p>
    <w:p w:rsidR="00000000" w:rsidDel="00000000" w:rsidP="00000000" w:rsidRDefault="00000000" w:rsidRPr="00000000" w14:paraId="0000002E">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Deelnemende organisaties: </w:t>
        <w:br w:type="textWrapping"/>
        <w:t xml:space="preserve">House of Time, CaRgo, Potgrond (samenwerking Bijzondere Jeugdzorg)</w:t>
      </w:r>
    </w:p>
    <w:p w:rsidR="00000000" w:rsidDel="00000000" w:rsidP="00000000" w:rsidRDefault="00000000" w:rsidRPr="00000000" w14:paraId="0000002F">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Korte inhoud: </w:t>
        <w:br w:type="textWrapping"/>
        <w:t xml:space="preserve">Vanuit verschillende projecten (Potgrond, Salon, Buurtsport, Collectief der Onbeperkten, de Batterie, Cargo,Prusik...) en vanuit andere organisaties die House of Time gebruiken, is er een vraag naar meer binnenruimte. Vooral in de winter en het tussenseizoen is er een grote nood aan verwarmbare ruimte. Omdat de pakhuizen niet toegankelijk en moeilijk te verwarmen zijn, willen we een nieuwe yurt tegemoetkomen aan deze nood. Via een verwarmde binnenruimte kan de site het hele jaar rond zijn werking garanderen.</w:t>
      </w:r>
    </w:p>
    <w:p w:rsidR="00000000" w:rsidDel="00000000" w:rsidP="00000000" w:rsidRDefault="00000000" w:rsidRPr="00000000" w14:paraId="00000031">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Een yurt past bij de look &amp; feel van de site. In de zomer kan de yurt als afgesloten ruimte gebruikt worden. Op langere termijn kan deze investering extra mogelijkheden en impulsen geven aan de jongerenorganisaties, met sleep-overs, survivals en aanbod voor kleinere groepen. Dit project breit verder op de originele doelstellingen van House of Time: het bouwen van een bruikbare, coole site, waarvoor Raumlabor tijdens het eerste werkingsjaar de basis legde.</w:t>
      </w:r>
    </w:p>
    <w:p w:rsidR="00000000" w:rsidDel="00000000" w:rsidP="00000000" w:rsidRDefault="00000000" w:rsidRPr="00000000" w14:paraId="00000032">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3">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Full Force</w:t>
      </w:r>
    </w:p>
    <w:p w:rsidR="00000000" w:rsidDel="00000000" w:rsidP="00000000" w:rsidRDefault="00000000" w:rsidRPr="00000000" w14:paraId="00000034">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5">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Deelnemende organisaties: </w:t>
        <w:br w:type="textWrapping"/>
        <w:t xml:space="preserve">Buurtsport Brugge, Sportdienst Brugge en Arktos vzw</w:t>
      </w:r>
    </w:p>
    <w:p w:rsidR="00000000" w:rsidDel="00000000" w:rsidP="00000000" w:rsidRDefault="00000000" w:rsidRPr="00000000" w14:paraId="00000036">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7">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Korte inhoud: </w:t>
      </w:r>
    </w:p>
    <w:p w:rsidR="00000000" w:rsidDel="00000000" w:rsidP="00000000" w:rsidRDefault="00000000" w:rsidRPr="00000000" w14:paraId="00000038">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We willen via sport het mentaal welzijn van Brugse jongeren verhogen door het versterken en verbinden van Brugse sportclubs en buurtsportmedewerkers’ Sport is een bekrachtigende én verbindende factor voor de geest. Deze troef willen vastgrijpen en als hefboom gebruiken om het mentale welzijn van de Brugse jongeren te versterken. We doen dit via mensen die jongeren nu al bereiken, zoals de buurtsportmedewerkers en de Brugse sportclubs. </w:t>
        <w:br w:type="textWrapping"/>
        <w:t xml:space="preserve">We willen zowel de buurtsportmedewerkers als de sportcoaches/trainers in het project betrekken, zodat ze duurzaam in verbinding staan met jongeren. Ze kunnen hen concrete tools aanreiken om hun weerbaarheid te versterken.</w:t>
      </w:r>
    </w:p>
    <w:p w:rsidR="00000000" w:rsidDel="00000000" w:rsidP="00000000" w:rsidRDefault="00000000" w:rsidRPr="00000000" w14:paraId="00000039">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A">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CBAW Café</w:t>
      </w:r>
    </w:p>
    <w:p w:rsidR="00000000" w:rsidDel="00000000" w:rsidP="00000000" w:rsidRDefault="00000000" w:rsidRPr="00000000" w14:paraId="0000003B">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C">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Deelnemende organisaties: </w:t>
        <w:br w:type="textWrapping"/>
        <w:t xml:space="preserve">Binnenstad vzw en Den Indruk</w:t>
      </w:r>
    </w:p>
    <w:p w:rsidR="00000000" w:rsidDel="00000000" w:rsidP="00000000" w:rsidRDefault="00000000" w:rsidRPr="00000000" w14:paraId="0000003D">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Korte inhoud:  </w:t>
        <w:br w:type="textWrapping"/>
        <w:t xml:space="preserve">“CBAW” is een woonvorm binnen Zelfstandig Wonen. Vanuit de gedachte dat kwetsbare jongeren ooit hun nest verlaten en op eigen benen staan, groeide in het Gentse een idee om voor hen een stuk nazorg te waarborgen. We willen dit niet te formeel laten verlopen. Een “Café” is een plek waar je ongedwongen een babbel kunt hebben bij een natje en een droogje. Zo kwam een voorzichtige aanzet voor het CBAW Café tot stand.</w:t>
      </w:r>
    </w:p>
    <w:p w:rsidR="00000000" w:rsidDel="00000000" w:rsidP="00000000" w:rsidRDefault="00000000" w:rsidRPr="00000000" w14:paraId="0000003E">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De basisgedachte van dit project is dat we alle kwetsbare jongeren uit het Brugse een laagdrempelig forum willen bieden waar zij met hun bezorgdheden, noden en ervaringen kunnen. Dit gebeurt op een ontspannen en ongedwongen manier. Leeftijds- en leefstijlgenoten zoeken steun bij elkaar</w:t>
      </w:r>
      <w:r w:rsidDel="00000000" w:rsidR="00000000" w:rsidRPr="00000000">
        <w:rPr>
          <w:rFonts w:ascii="Libre Franklin" w:cs="Libre Franklin" w:eastAsia="Libre Franklin" w:hAnsi="Libre Franklin"/>
          <w:i w:val="1"/>
          <w:rtl w:val="0"/>
        </w:rPr>
        <w:t xml:space="preserve">. Peer support</w:t>
      </w:r>
      <w:r w:rsidDel="00000000" w:rsidR="00000000" w:rsidRPr="00000000">
        <w:rPr>
          <w:rFonts w:ascii="Libre Franklin" w:cs="Libre Franklin" w:eastAsia="Libre Franklin" w:hAnsi="Libre Franklin"/>
          <w:rtl w:val="0"/>
        </w:rPr>
        <w:t xml:space="preserve"> is een manier van samenwerken en elkaar ondersteunen. </w:t>
      </w:r>
      <w:r w:rsidDel="00000000" w:rsidR="00000000" w:rsidRPr="00000000">
        <w:rPr>
          <w:rFonts w:ascii="Libre Franklin" w:cs="Libre Franklin" w:eastAsia="Libre Franklin" w:hAnsi="Libre Franklin"/>
          <w:i w:val="1"/>
          <w:rtl w:val="0"/>
        </w:rPr>
        <w:t xml:space="preserve">Peers</w:t>
      </w:r>
      <w:r w:rsidDel="00000000" w:rsidR="00000000" w:rsidRPr="00000000">
        <w:rPr>
          <w:rFonts w:ascii="Libre Franklin" w:cs="Libre Franklin" w:eastAsia="Libre Franklin" w:hAnsi="Libre Franklin"/>
          <w:rtl w:val="0"/>
        </w:rPr>
        <w:t xml:space="preserve"> helpen elkaar door hun eigen kennis, inzichten en ervaring. Het CBAW Café wil een ontmoetingsplaats zijn voor en door kwetsbare jongeren, die er met elkaar in gesprek gaan over thema’s die hen na aan het hart liggen. Via dit forum willen wij het gedachtegoed van “Peer Support” vertalen in een laagdrempelig “CBAW Café”. Wij zien dit concept als een sleutel op de deur om peer support informeel tot bij hen te brengen.</w:t>
      </w:r>
    </w:p>
    <w:p w:rsidR="00000000" w:rsidDel="00000000" w:rsidP="00000000" w:rsidRDefault="00000000" w:rsidRPr="00000000" w14:paraId="0000003F">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0">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Atelierwerking CLW VTI</w:t>
      </w:r>
    </w:p>
    <w:p w:rsidR="00000000" w:rsidDel="00000000" w:rsidP="00000000" w:rsidRDefault="00000000" w:rsidRPr="00000000" w14:paraId="00000041">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2">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Deelnemende organisaties: </w:t>
      </w:r>
    </w:p>
    <w:p w:rsidR="00000000" w:rsidDel="00000000" w:rsidP="00000000" w:rsidRDefault="00000000" w:rsidRPr="00000000" w14:paraId="00000043">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CLW VTI en Groep INTRO</w:t>
      </w:r>
    </w:p>
    <w:p w:rsidR="00000000" w:rsidDel="00000000" w:rsidP="00000000" w:rsidRDefault="00000000" w:rsidRPr="00000000" w14:paraId="00000044">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Korte inhoud: </w:t>
        <w:br w:type="textWrapping"/>
        <w:t xml:space="preserve">Het Centrum Leren en Werken evolueert (decretaal bepaald) naar een Centrum dat enkel “arbeidsbereide en arbeidsrijpe” jongeren laat instromen, met het oog op een gekwalificeerde uitstroom. Door dit nieuwe decreet vallen jongeren binnen een bestaand persoonlijk ontwikkelingstraject (spijbelaars, afhankelijkheidsproblematieken, psychische en persoonlijke problemen, gedragsmoeilijkheden) uit de boot. Ze zullen ten gevolge van het decreet uit deze Centra worden geweerd. Het CLW wil deze nog niet arbeidsklare jongeren niet in de kou te laten staan en zet in op activering van de groep. Naast hun twee vertrouwde schooldagen krijgen ze een activeringsprogramma aangeboden, wat leidt tot een voltijds engagement van 28u/week. Het Ministerie van Onderwijs voorziet hiervoor geen extra middelen. Het CLW VTI voorziet i.s.m. Groep INTRO personeel gedurende 4 dagen in de week, onder de noemer “aanloopfase in eigen beheer”. De doelstellingen zijn helder: elke jongere talentgericht benaderen en activeren via ateliers en werkopdrachten. Zo kunnen ze alsnog aansluiting vinden bij de aanloopfase, via groepsvorming, stage of een betaalde tewerkstelling.</w:t>
      </w:r>
    </w:p>
    <w:p w:rsidR="00000000" w:rsidDel="00000000" w:rsidP="00000000" w:rsidRDefault="00000000" w:rsidRPr="00000000" w14:paraId="00000045">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6">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Ik ben bereikbaar</w:t>
      </w:r>
    </w:p>
    <w:p w:rsidR="00000000" w:rsidDel="00000000" w:rsidP="00000000" w:rsidRDefault="00000000" w:rsidRPr="00000000" w14:paraId="00000047">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Deelnemende organisaties: </w:t>
        <w:br w:type="textWrapping"/>
        <w:t xml:space="preserve">vzw Wieder, preventiewerkers Stad Brugge, Buurtsport Brugge</w:t>
      </w:r>
    </w:p>
    <w:p w:rsidR="00000000" w:rsidDel="00000000" w:rsidP="00000000" w:rsidRDefault="00000000" w:rsidRPr="00000000" w14:paraId="00000048">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Korte inhoud: </w:t>
        <w:br w:type="textWrapping"/>
        <w:t xml:space="preserve">Met het project #teambereikbaar willen we inzetten op twee sporen. We verhogen de toegankelijkheid van het bestaande vrijetijdsaanbod voor kwetsbare doelgroepen. We doen dit vanuit een participatieve insteek en zorgen ervoor dat het aanbod afgestemd is op de concrete nood die leeft vandaag op Brugs grondgebied. Samenwerking, afstemming en verbinding  tussen de verschillende actoren staan centraal. Ze gaan actief aan de slag met de methodiek outreach voor kwetsbare doelgroepen op het grondgebied van Brugge</w:t>
      </w:r>
    </w:p>
    <w:p w:rsidR="00000000" w:rsidDel="00000000" w:rsidP="00000000" w:rsidRDefault="00000000" w:rsidRPr="00000000" w14:paraId="00000049">
      <w:pPr>
        <w:tabs>
          <w:tab w:val="left" w:pos="1843"/>
        </w:tabs>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A">
      <w:pPr>
        <w:tabs>
          <w:tab w:val="left" w:pos="1843"/>
        </w:tabs>
        <w:spacing w:after="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Actie: Klimmen in De Joert</w:t>
      </w:r>
    </w:p>
    <w:p w:rsidR="00000000" w:rsidDel="00000000" w:rsidP="00000000" w:rsidRDefault="00000000" w:rsidRPr="00000000" w14:paraId="0000004B">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Deelnemende organisaties: </w:t>
        <w:br w:type="textWrapping"/>
        <w:t xml:space="preserve">Vereniging SPOOR, losse werkingen in De Joert en netwerkorganisaties BvJ</w:t>
      </w:r>
    </w:p>
    <w:p w:rsidR="00000000" w:rsidDel="00000000" w:rsidP="00000000" w:rsidRDefault="00000000" w:rsidRPr="00000000" w14:paraId="0000004C">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Korte inhoud: </w:t>
        <w:br w:type="textWrapping"/>
        <w:t xml:space="preserve">Individuele, actieve trajecten als werkvorm zijn in trek bij jongeren met risico op schooluitval, die in jongerenpaviljoen “De Joert” begeleid worden. We doen vaak aan muurklimmen en er wordt gefocust op (zelf)vertrouwen, grenzen verkennen en verleggen. De ervaringen op de klimmuur zijn de perfecte basis voor een hulpverleningstraject over het schoolse aspect binnen een begeleiding van Blink. Met dit project willen we in de tuin van De Joert de bestaande fietsenberging ombouwen tot klimmuur en buitenbabbelbox. We willen die openstellen voor het volledige netwerk van Brugge(n) voor Jongeren, kosteloos en zo drempelvrij als mogelijk. </w:t>
      </w:r>
    </w:p>
    <w:p w:rsidR="00000000" w:rsidDel="00000000" w:rsidP="00000000" w:rsidRDefault="00000000" w:rsidRPr="00000000" w14:paraId="0000004D">
      <w:pPr>
        <w:tabs>
          <w:tab w:val="left" w:pos="1843"/>
        </w:tabs>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br w:type="textWrapping"/>
        <w:t xml:space="preserve">De buitenbabbelbox vormt een belangrijk deel van de constructie. Het is een gespreksruimte in de buitenlucht. Dat is tijdens deze pandemie een meerwaarde, maar ook na corona een uitstekende plek voor begeleidingen. Het bureau vormt de leefwereld van de volwassene, de jongere voelt zich meer thuis in een ruimte die hij zelf kan aanpassen en vormgeven. Dit hopen we te bereiken met de buitenbabbelbox.</w:t>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2153360" cy="1069322"/>
          <wp:effectExtent b="0" l="0" r="0" t="0"/>
          <wp:docPr descr="Afbeelding met tekst&#10;&#10;Automatisch gegenereerde beschrijving" id="2" name="image1.jpg"/>
          <a:graphic>
            <a:graphicData uri="http://schemas.openxmlformats.org/drawingml/2006/picture">
              <pic:pic>
                <pic:nvPicPr>
                  <pic:cNvPr descr="Afbeelding met tekst&#10;&#10;Automatisch gegenereerde beschrijving" id="0" name="image1.jpg"/>
                  <pic:cNvPicPr preferRelativeResize="0"/>
                </pic:nvPicPr>
                <pic:blipFill>
                  <a:blip r:embed="rId1"/>
                  <a:srcRect b="0" l="0" r="0" t="0"/>
                  <a:stretch>
                    <a:fillRect/>
                  </a:stretch>
                </pic:blipFill>
                <pic:spPr>
                  <a:xfrm>
                    <a:off x="0" y="0"/>
                    <a:ext cx="2153360" cy="1069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0B2FBE"/>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Normaalweb">
    <w:name w:val="Normal (Web)"/>
    <w:basedOn w:val="Standaard"/>
    <w:uiPriority w:val="99"/>
    <w:unhideWhenUsed w:val="1"/>
    <w:rsid w:val="005D690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Standaardalinea-lettertype"/>
    <w:uiPriority w:val="99"/>
    <w:unhideWhenUsed w:val="1"/>
    <w:rsid w:val="0031776F"/>
    <w:rPr>
      <w:color w:val="0000ff" w:themeColor="hyperlink"/>
      <w:u w:val="single"/>
    </w:rPr>
  </w:style>
  <w:style w:type="paragraph" w:styleId="Koptekst">
    <w:name w:val="header"/>
    <w:basedOn w:val="Standaard"/>
    <w:link w:val="KoptekstChar"/>
    <w:uiPriority w:val="99"/>
    <w:unhideWhenUsed w:val="1"/>
    <w:rsid w:val="00296E0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96E04"/>
  </w:style>
  <w:style w:type="paragraph" w:styleId="Voettekst">
    <w:name w:val="footer"/>
    <w:basedOn w:val="Standaard"/>
    <w:link w:val="VoettekstChar"/>
    <w:uiPriority w:val="99"/>
    <w:unhideWhenUsed w:val="1"/>
    <w:rsid w:val="00296E0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96E04"/>
  </w:style>
  <w:style w:type="paragraph" w:styleId="Ballontekst">
    <w:name w:val="Balloon Text"/>
    <w:basedOn w:val="Standaard"/>
    <w:link w:val="BallontekstChar"/>
    <w:uiPriority w:val="99"/>
    <w:semiHidden w:val="1"/>
    <w:unhideWhenUsed w:val="1"/>
    <w:rsid w:val="00296E04"/>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96E04"/>
    <w:rPr>
      <w:rFonts w:ascii="Tahoma" w:cs="Tahoma" w:hAnsi="Tahoma"/>
      <w:sz w:val="16"/>
      <w:szCs w:val="16"/>
    </w:rPr>
  </w:style>
  <w:style w:type="paragraph" w:styleId="Lijstalinea">
    <w:name w:val="List Paragraph"/>
    <w:basedOn w:val="Standaard"/>
    <w:uiPriority w:val="34"/>
    <w:qFormat w:val="1"/>
    <w:rsid w:val="004A270D"/>
    <w:pPr>
      <w:spacing w:after="0" w:line="240" w:lineRule="auto"/>
      <w:ind w:left="720"/>
      <w:contextualSpacing w:val="1"/>
    </w:pPr>
    <w:rPr>
      <w:rFonts w:cs="Times New Roman"/>
    </w:rPr>
  </w:style>
  <w:style w:type="paragraph" w:styleId="Default" w:customStyle="1">
    <w:name w:val="Default"/>
    <w:basedOn w:val="Standaard"/>
    <w:uiPriority w:val="99"/>
    <w:rsid w:val="001B4B18"/>
    <w:pPr>
      <w:autoSpaceDE w:val="0"/>
      <w:autoSpaceDN w:val="0"/>
      <w:spacing w:after="0" w:line="240" w:lineRule="auto"/>
    </w:pPr>
    <w:rPr>
      <w:color w:val="000000"/>
      <w:sz w:val="24"/>
      <w:szCs w:val="24"/>
    </w:rPr>
  </w:style>
  <w:style w:type="character" w:styleId="Onopgelostemelding">
    <w:name w:val="Unresolved Mention"/>
    <w:basedOn w:val="Standaardalinea-lettertype"/>
    <w:uiPriority w:val="99"/>
    <w:semiHidden w:val="1"/>
    <w:unhideWhenUsed w:val="1"/>
    <w:rsid w:val="00AC73A2"/>
    <w:rPr>
      <w:color w:val="605e5c"/>
      <w:shd w:color="auto" w:fill="e1dfdd" w:val="clear"/>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Tekstopmerking">
    <w:name w:val="annotation text"/>
    <w:basedOn w:val="Standaard"/>
    <w:link w:val="TekstopmerkingChar"/>
    <w:uiPriority w:val="99"/>
    <w:semiHidden w:val="1"/>
    <w:unhideWhenUsed w:val="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Pr>
      <w:sz w:val="20"/>
      <w:szCs w:val="20"/>
    </w:rPr>
  </w:style>
  <w:style w:type="character" w:styleId="Verwijzingopmerking">
    <w:name w:val="annotation reference"/>
    <w:basedOn w:val="Standaardalinea-lettertype"/>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eroen.slambrouck@cawnoordwestvlaanderen.b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I8cKfSoGvnVACYRqIOL1/KfjA==">AMUW2mXYBw7yIxKovMzR9WMJpy1klCcI+wa32BayPKcE+0bdIWR0iFRVhjnyhynfM8PgabnZpqIBewR5emWWJjbzem+V+GBaqScLUEP38/4flrowVCsrVuY=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2021-06-17T12:05:00Z</dcterms:created>
  <dc:creator>secdd</dc:creator>
</cp:coreProperties>
</file>